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81" w:rsidRDefault="007D4981" w:rsidP="007D4981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79"/>
        <w:gridCol w:w="5397"/>
      </w:tblGrid>
      <w:tr w:rsidR="00FA1EBF" w:rsidRPr="007D23E3" w:rsidTr="007A565C">
        <w:tc>
          <w:tcPr>
            <w:tcW w:w="9179" w:type="dxa"/>
            <w:shd w:val="clear" w:color="auto" w:fill="auto"/>
          </w:tcPr>
          <w:p w:rsidR="00FA1EBF" w:rsidRPr="007D23E3" w:rsidRDefault="00FA1EBF" w:rsidP="007A565C">
            <w:pPr>
              <w:pStyle w:val="af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7" w:type="dxa"/>
            <w:shd w:val="clear" w:color="auto" w:fill="auto"/>
          </w:tcPr>
          <w:p w:rsidR="00FA1EBF" w:rsidRPr="007D23E3" w:rsidRDefault="00111399" w:rsidP="00111399">
            <w:pPr>
              <w:pStyle w:val="af9"/>
              <w:snapToGrid w:val="0"/>
              <w:spacing w:after="3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:rsidR="00FA1EBF" w:rsidRPr="007D23E3" w:rsidRDefault="00111399" w:rsidP="00111399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FA1EBF" w:rsidRPr="007D23E3">
              <w:rPr>
                <w:rFonts w:ascii="Times New Roman" w:hAnsi="Times New Roman" w:cs="Times New Roman"/>
                <w:sz w:val="24"/>
              </w:rPr>
              <w:t>остановлением администрации</w:t>
            </w:r>
          </w:p>
          <w:p w:rsidR="00FA1EBF" w:rsidRPr="007D23E3" w:rsidRDefault="00FA1EBF" w:rsidP="007A565C">
            <w:pPr>
              <w:pStyle w:val="af9"/>
              <w:jc w:val="both"/>
              <w:rPr>
                <w:rFonts w:ascii="Times New Roman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>Мурыгинского городского поселения</w:t>
            </w:r>
          </w:p>
          <w:p w:rsidR="00FA1EBF" w:rsidRPr="007D23E3" w:rsidRDefault="001C1B0A" w:rsidP="00111399">
            <w:pPr>
              <w:pStyle w:val="af9"/>
              <w:jc w:val="both"/>
              <w:rPr>
                <w:rFonts w:ascii="Times New Roman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 xml:space="preserve">от   </w:t>
            </w:r>
            <w:r w:rsidR="00111399">
              <w:rPr>
                <w:rFonts w:ascii="Times New Roman" w:hAnsi="Times New Roman" w:cs="Times New Roman"/>
                <w:sz w:val="24"/>
              </w:rPr>
              <w:t>04.10.2021</w:t>
            </w:r>
            <w:r w:rsidRPr="007D23E3">
              <w:rPr>
                <w:rFonts w:ascii="Times New Roman" w:hAnsi="Times New Roman" w:cs="Times New Roman"/>
                <w:sz w:val="24"/>
              </w:rPr>
              <w:t xml:space="preserve">    № </w:t>
            </w:r>
            <w:r w:rsidR="00111399">
              <w:rPr>
                <w:rFonts w:ascii="Times New Roman" w:hAnsi="Times New Roman" w:cs="Times New Roman"/>
                <w:sz w:val="24"/>
              </w:rPr>
              <w:t xml:space="preserve">100 (в редакции </w:t>
            </w:r>
            <w:r w:rsidR="00111399" w:rsidRPr="00111399">
              <w:rPr>
                <w:rFonts w:ascii="Times New Roman" w:hAnsi="Times New Roman" w:cs="Times New Roman"/>
                <w:sz w:val="24"/>
              </w:rPr>
              <w:t>от 02.03.2022 №27, от 09.08.2023 № 123</w:t>
            </w:r>
            <w:r w:rsidR="00111399">
              <w:rPr>
                <w:rFonts w:ascii="Times New Roman" w:hAnsi="Times New Roman" w:cs="Times New Roman"/>
                <w:sz w:val="24"/>
              </w:rPr>
              <w:t>, от 13.12.2023 № 224)</w:t>
            </w:r>
            <w:bookmarkEnd w:id="0"/>
          </w:p>
        </w:tc>
      </w:tr>
    </w:tbl>
    <w:p w:rsidR="00FA1EBF" w:rsidRPr="007D23E3" w:rsidRDefault="00FA1EBF" w:rsidP="00FA1EBF">
      <w:pPr>
        <w:rPr>
          <w:rFonts w:ascii="Times New Roman" w:hAnsi="Times New Roman" w:cs="Times New Roman"/>
          <w:sz w:val="24"/>
        </w:rPr>
      </w:pPr>
    </w:p>
    <w:p w:rsidR="00FA1EBF" w:rsidRPr="007D23E3" w:rsidRDefault="00FA1EBF" w:rsidP="00FA1EBF">
      <w:pPr>
        <w:rPr>
          <w:rFonts w:ascii="Times New Roman" w:hAnsi="Times New Roman" w:cs="Times New Roman"/>
          <w:sz w:val="24"/>
        </w:rPr>
      </w:pPr>
    </w:p>
    <w:p w:rsidR="00FA1EBF" w:rsidRPr="007D23E3" w:rsidRDefault="00FA1EBF" w:rsidP="00FA1EBF">
      <w:pPr>
        <w:jc w:val="center"/>
        <w:rPr>
          <w:rFonts w:ascii="Times New Roman" w:hAnsi="Times New Roman" w:cs="Times New Roman"/>
          <w:sz w:val="24"/>
        </w:rPr>
      </w:pPr>
      <w:r w:rsidRPr="007D23E3">
        <w:rPr>
          <w:rFonts w:ascii="Times New Roman" w:hAnsi="Times New Roman" w:cs="Times New Roman"/>
          <w:sz w:val="24"/>
        </w:rPr>
        <w:t xml:space="preserve">План мероприятий по противодействию коррупции на территории Мурыгинского городского поселения </w:t>
      </w:r>
    </w:p>
    <w:p w:rsidR="00FA1EBF" w:rsidRPr="007D23E3" w:rsidRDefault="00FA1EBF" w:rsidP="00FA1EBF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7D23E3">
        <w:rPr>
          <w:rFonts w:ascii="Times New Roman" w:hAnsi="Times New Roman" w:cs="Times New Roman"/>
          <w:sz w:val="24"/>
        </w:rPr>
        <w:t>Юрьянского</w:t>
      </w:r>
      <w:proofErr w:type="spellEnd"/>
      <w:r w:rsidRPr="007D23E3">
        <w:rPr>
          <w:rFonts w:ascii="Times New Roman" w:hAnsi="Times New Roman" w:cs="Times New Roman"/>
          <w:sz w:val="24"/>
        </w:rPr>
        <w:t xml:space="preserve"> района на 2022-2024 годы</w:t>
      </w:r>
    </w:p>
    <w:p w:rsidR="00FA1EBF" w:rsidRPr="007D23E3" w:rsidRDefault="00FA1EBF" w:rsidP="00FA1EBF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23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FA1EBF" w:rsidRPr="007D23E3" w:rsidTr="007A565C">
        <w:trPr>
          <w:tblHeader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FA1EBF" w:rsidRPr="007D23E3" w:rsidRDefault="00FA1EBF" w:rsidP="007A5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Национальном плане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на 2021 – 2024 годы»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Мурыгинского городского поселения Чернова С.Е.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05031B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– 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утверждение </w:t>
            </w:r>
            <w:r w:rsidRPr="007D23E3">
              <w:rPr>
                <w:rFonts w:ascii="Times New Roman" w:hAnsi="Times New Roman" w:cs="Times New Roman"/>
                <w:sz w:val="24"/>
              </w:rPr>
              <w:t>планов (программ) по противодействию коррупции (внесение изменений в планы (программы) по противодействию коррупции)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органами местного самоуправления 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Глава Мурыгинского городского поселения Чернова С.Е.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05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05031B" w:rsidRPr="007D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обеспечение организации работы по профилактике коррупционных и иных правонарушений органах местного самоуправления 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муниципальными учреждениями Мурыгинского городского поселения </w:t>
            </w:r>
            <w:proofErr w:type="spell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оценка состояния антикоррупционной работы, проводимой в муниципальных учреждениях;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соблюдения руководителями муниципальных учреждений законодательства о противодействии коррупции</w:t>
            </w: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Глава Мурыгинского городского поселения Чернова С.Е.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05031B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 представителей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 гражданского общества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6" w:history="1">
              <w:r w:rsidRPr="007D23E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Мурыгинского городского поселения Чернова С.Е.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05031B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конфликта интересов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повышение эффективности 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контроля за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05031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муниципальных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356D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356D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учреждений, сведений, установленных законодательством Российской Федерации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проведения оценки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коррупционных рисков, возникающих при реализации </w:t>
            </w:r>
            <w:r w:rsidRPr="007D23E3">
              <w:rPr>
                <w:rFonts w:ascii="Times New Roman" w:hAnsi="Times New Roman" w:cs="Times New Roman"/>
                <w:sz w:val="24"/>
              </w:rPr>
              <w:t>органами местного самоуправления возложенных на них полномочий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выявление в деятельности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органов местного самоуправления сфер, наиболее подверженных рискам совершения коррупционных правонарушений;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до 1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обязанных представлять такие </w:t>
            </w:r>
            <w:proofErr w:type="spellStart"/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све-дения</w:t>
            </w:r>
            <w:proofErr w:type="spellEnd"/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обеспечение своевременного исполнения лицами,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замещающимимуниципальные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A1EBF" w:rsidRPr="007D23E3" w:rsidTr="007A565C">
        <w:trPr>
          <w:cantSplit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службы, должности руководителей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356D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делопроизводству и кадрам администрации Мурыгинского городского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должности руководителей муниципальных учреждений,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обеспечение соблюдения лицами, замещающими должности муниципальной службы, должности руководителей муниципальных учреждений,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требований законодательства о противодействии коррупции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меры по предотвращению и урегулированию конфликта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выявление конфликтов интересов, связанных с участием лиц, муниципальные должности,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356DD4" w:rsidRPr="007D23E3" w:rsidTr="007A565C">
        <w:tc>
          <w:tcPr>
            <w:tcW w:w="589" w:type="dxa"/>
            <w:tcMar>
              <w:top w:w="0" w:type="dxa"/>
            </w:tcMar>
          </w:tcPr>
          <w:p w:rsidR="00356DD4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урегулирования конфликта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356DD4" w:rsidRPr="007D23E3" w:rsidRDefault="00356DD4" w:rsidP="00E63C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принятие мер по выявлению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FA1EBF" w:rsidRPr="007D23E3" w:rsidTr="007A565C">
        <w:trPr>
          <w:trHeight w:val="314"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2023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участия </w:t>
            </w:r>
            <w:r w:rsidRPr="007D23E3">
              <w:rPr>
                <w:rFonts w:ascii="Times New Roman" w:hAnsi="Times New Roman" w:cs="Times New Roman"/>
                <w:sz w:val="24"/>
              </w:rPr>
              <w:t>муниципальных служащих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 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7D23E3">
              <w:rPr>
                <w:rFonts w:ascii="Times New Roman" w:hAnsi="Times New Roman" w:cs="Times New Roman"/>
                <w:sz w:val="24"/>
              </w:rPr>
              <w:t xml:space="preserve">муниципальных служащих, руководителей муниципальных </w:t>
            </w:r>
            <w:r w:rsidRPr="007D23E3">
              <w:rPr>
                <w:rFonts w:ascii="Times New Roman" w:hAnsi="Times New Roman" w:cs="Times New Roman"/>
                <w:sz w:val="24"/>
              </w:rPr>
              <w:lastRenderedPageBreak/>
              <w:t xml:space="preserve">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 xml:space="preserve">года, – не менее 2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информирование муниципальных служащих, руководителей муниципальных учреждений о требованиях действующего законодательства Российской Федерации о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противодействии коррупции в целях исключения случаев его несоблюдения</w:t>
            </w:r>
          </w:p>
        </w:tc>
      </w:tr>
      <w:tr w:rsidR="00FA1EBF" w:rsidRPr="007D23E3" w:rsidTr="007A565C">
        <w:trPr>
          <w:cantSplit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повышения квалификации </w:t>
            </w:r>
            <w:r w:rsidRPr="007D23E3">
              <w:rPr>
                <w:rFonts w:ascii="Times New Roman" w:hAnsi="Times New Roman" w:cs="Times New Roman"/>
                <w:sz w:val="24"/>
              </w:rPr>
              <w:t>муниципальных служащих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Глава Мурыгинского городского поселения Чернова С.Е.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356D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– 2024 годов, к общему количеству муниципальных служащих, в должностные обязанности которых входит участие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FA1EBF" w:rsidRPr="007D23E3" w:rsidTr="007A565C">
        <w:trPr>
          <w:cantSplit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не позднее одного года со дня поступления на службу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муниципальных служащих, впервые поступивших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муниципальной службе и о противодействии коррупции, формирование антикоррупционного поведения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обучение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>Глава Мурыгинского городского поселения Чернова С.Е.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356D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в течение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202</w:t>
            </w:r>
            <w:r w:rsidR="00356DD4" w:rsidRPr="007D23E3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коррупции в течение 2023 –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35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356DD4" w:rsidRPr="007D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рассмотренных сообщений от работодателей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 xml:space="preserve">о заключении трудового и (или) гражданско-правового договора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 xml:space="preserve"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приема от лиц, замещающих </w:t>
            </w:r>
            <w:r w:rsidRPr="007D23E3">
              <w:rPr>
                <w:rFonts w:ascii="Times New Roman" w:hAnsi="Times New Roman" w:cs="Times New Roman"/>
                <w:sz w:val="24"/>
              </w:rPr>
              <w:t>муниципальные должности, должности муниципальной службы,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организациям, к общему количеству лиц, замещающих муниципальные должности,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 и кадрам администрации Мурыгинского городского поселения Кудрявцева Т.С.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организациям, в отношении которых проведен анализ, к общему количеству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представленных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муниципальных учреждений,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D23E3">
              <w:rPr>
                <w:rFonts w:ascii="Times New Roman" w:hAnsi="Times New Roman" w:cs="Times New Roman"/>
                <w:sz w:val="24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2023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количество нормативных правовых актов и их проектов, в отношении которых органами местного самоуправления 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проведена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антикоррупционная экс-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пертиза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выявление в нормативных правовых актах и их проектах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коррупциогенных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356DD4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56DD4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 xml:space="preserve">Рассмотрение вопросов правоприменительной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</w:rPr>
              <w:t>практики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</w:rPr>
              <w:t xml:space="preserve"> по результатам вступивших в законную силу решений судов, </w:t>
            </w:r>
            <w:r w:rsidRPr="007D23E3">
              <w:rPr>
                <w:rFonts w:ascii="Times New Roman" w:hAnsi="Times New Roman" w:cs="Times New Roman"/>
                <w:sz w:val="24"/>
              </w:rPr>
              <w:lastRenderedPageBreak/>
              <w:t>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 xml:space="preserve">повышение эффективности выработки и принятия мер по предупреждению и устранению причин </w:t>
            </w:r>
            <w:r w:rsidRPr="007D23E3">
              <w:rPr>
                <w:rFonts w:ascii="Times New Roman" w:hAnsi="Times New Roman" w:cs="Times New Roman"/>
                <w:sz w:val="24"/>
              </w:rPr>
              <w:lastRenderedPageBreak/>
              <w:t>нарушений в сфере противодействия коррупции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и иных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2023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эффективного осуществления в муниципальных учреждениях и иных организациях мер по профилактике коррупционных и иных правонарушений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 и иных организациях проверок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требований </w:t>
            </w:r>
            <w:hyperlink r:id="rId7" w:history="1">
              <w:r w:rsidRPr="007D23E3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категории, юрист администрации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повышение эффективности деятельности по противодействию коррупции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 муниципальных учреждениях и иных организациях 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DD4" w:rsidRPr="007D23E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35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56DD4" w:rsidRPr="007D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поступления обращений граждан и организаций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–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выявление сфер 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деятель-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ности</w:t>
            </w:r>
            <w:proofErr w:type="spellEnd"/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органов местного самоуправления наиболее подверженных коррупционным рискам</w:t>
            </w:r>
          </w:p>
        </w:tc>
      </w:tr>
      <w:tr w:rsidR="00FA1EBF" w:rsidRPr="007D23E3" w:rsidTr="007A565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FA1EBF" w:rsidP="0035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D4" w:rsidRPr="007D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информирование граждан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о принимаемых органами местного самоуправления мерах по противодействию коррупции;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формирование антикоррупционного мировоззрения;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повышение общего уровня правосознания и правовой культуры граждан</w:t>
            </w:r>
          </w:p>
        </w:tc>
      </w:tr>
      <w:tr w:rsidR="00FA1EBF" w:rsidRPr="007D23E3" w:rsidTr="00FA1EBF">
        <w:trPr>
          <w:trHeight w:val="2443"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Обеспечение работы телефона доверия 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органах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местного самоуправления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FA1EBF" w:rsidRPr="007D23E3" w:rsidTr="007A565C">
        <w:trPr>
          <w:trHeight w:val="2299"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при администрации Мурыгинского городского поселения к осуществлению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противодействию коррупции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усиление общественного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контроля за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FA1EBF" w:rsidRPr="007D23E3" w:rsidTr="00FA1EBF">
        <w:trPr>
          <w:trHeight w:val="58"/>
        </w:trPr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органа местного самоуправления информацией в соответствии с требованиями </w:t>
            </w:r>
            <w:hyperlink r:id="rId8" w:history="1">
              <w:r w:rsidRPr="007D23E3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характера»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356DD4" w:rsidRPr="007D23E3" w:rsidTr="00FA1EBF">
        <w:trPr>
          <w:trHeight w:val="58"/>
        </w:trPr>
        <w:tc>
          <w:tcPr>
            <w:tcW w:w="589" w:type="dxa"/>
            <w:tcMar>
              <w:top w:w="0" w:type="dxa"/>
            </w:tcMar>
          </w:tcPr>
          <w:p w:rsidR="00356DD4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Мониторинг информации о фактах коррупции в органах местного самоуправления </w:t>
            </w:r>
            <w:r w:rsidRPr="007D23E3">
              <w:rPr>
                <w:rFonts w:ascii="Times New Roman" w:hAnsi="Times New Roman" w:cs="Times New Roman"/>
                <w:sz w:val="24"/>
              </w:rPr>
              <w:t>и муниципальных учреждениях, опубликованной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в средствах массовой информации </w:t>
            </w:r>
          </w:p>
        </w:tc>
        <w:tc>
          <w:tcPr>
            <w:tcW w:w="2338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Глава Мурыгинского городского поселения Чернова С.Е.</w:t>
            </w:r>
          </w:p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356DD4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 год,</w:t>
            </w:r>
          </w:p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35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количество мероприятий, приуроченных к Международному дню борьбы с коррупцией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 xml:space="preserve">(9 декабря), – не менее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br/>
              <w:t>1 мероприятия в год</w:t>
            </w: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Проведение мероприятий по противодействию коррупции органами местного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самоуправления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ind w:left="35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</w:t>
            </w:r>
            <w:proofErr w:type="spellStart"/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spellEnd"/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юрист администрации Мурыгинского городского 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 Кировской области;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356DD4" w:rsidRPr="007D23E3" w:rsidTr="007A565C">
        <w:tc>
          <w:tcPr>
            <w:tcW w:w="589" w:type="dxa"/>
            <w:tcMar>
              <w:top w:w="0" w:type="dxa"/>
            </w:tcMar>
          </w:tcPr>
          <w:p w:rsidR="00356DD4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338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56DD4" w:rsidRPr="007D23E3" w:rsidRDefault="00356DD4" w:rsidP="00E63C06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56DD4" w:rsidRPr="007D23E3" w:rsidRDefault="00356DD4" w:rsidP="00E63C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FA1EBF" w:rsidRPr="007D23E3" w:rsidTr="007A565C">
        <w:tc>
          <w:tcPr>
            <w:tcW w:w="589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заключаемых договоров в отношении объектов муниципальной собственности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категории, юрист администрации Мурыгинского городского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Урванцев Р.В.</w:t>
            </w:r>
          </w:p>
        </w:tc>
        <w:tc>
          <w:tcPr>
            <w:tcW w:w="2005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FA1EBF" w:rsidRPr="007D23E3" w:rsidRDefault="00356DD4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1EBF"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A1EBF" w:rsidRPr="007D23E3" w:rsidRDefault="00FA1EBF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выявление фактов нецелевого использования объектов муниципальной собственности;</w:t>
            </w:r>
          </w:p>
          <w:p w:rsidR="00FA1EBF" w:rsidRPr="007D23E3" w:rsidRDefault="00FA1EBF" w:rsidP="007A56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принятие своевременных и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эффективных мер по недопущению нецелевого использования муниципального имущества</w:t>
            </w:r>
          </w:p>
        </w:tc>
      </w:tr>
    </w:tbl>
    <w:p w:rsidR="00FA1EBF" w:rsidRPr="00FA1EBF" w:rsidRDefault="00FA1EBF" w:rsidP="00FA1EBF">
      <w:pPr>
        <w:tabs>
          <w:tab w:val="left" w:pos="451"/>
          <w:tab w:val="left" w:pos="2571"/>
          <w:tab w:val="center" w:pos="7143"/>
        </w:tabs>
        <w:spacing w:before="720"/>
        <w:jc w:val="center"/>
        <w:rPr>
          <w:rFonts w:ascii="Times New Roman" w:hAnsi="Times New Roman" w:cs="Times New Roman"/>
          <w:sz w:val="24"/>
        </w:rPr>
      </w:pPr>
      <w:r w:rsidRPr="007D23E3">
        <w:rPr>
          <w:rFonts w:ascii="Times New Roman" w:hAnsi="Times New Roman" w:cs="Times New Roman"/>
          <w:sz w:val="24"/>
        </w:rPr>
        <w:lastRenderedPageBreak/>
        <w:t>___________</w:t>
      </w: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sectPr w:rsidR="007D4981" w:rsidRPr="00FA1EBF" w:rsidSect="00FA1E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1"/>
    <w:rsid w:val="00026464"/>
    <w:rsid w:val="0005031B"/>
    <w:rsid w:val="00111399"/>
    <w:rsid w:val="0019547A"/>
    <w:rsid w:val="001C1B0A"/>
    <w:rsid w:val="00325032"/>
    <w:rsid w:val="003411A4"/>
    <w:rsid w:val="00356DD4"/>
    <w:rsid w:val="003A5CCE"/>
    <w:rsid w:val="00590933"/>
    <w:rsid w:val="007A565C"/>
    <w:rsid w:val="007D23E3"/>
    <w:rsid w:val="007D4981"/>
    <w:rsid w:val="007E652D"/>
    <w:rsid w:val="00804EBA"/>
    <w:rsid w:val="00866AFB"/>
    <w:rsid w:val="008A4C88"/>
    <w:rsid w:val="008A6AEA"/>
    <w:rsid w:val="008D72A9"/>
    <w:rsid w:val="00AB37BF"/>
    <w:rsid w:val="00B615DF"/>
    <w:rsid w:val="00BD3D30"/>
    <w:rsid w:val="00BE2906"/>
    <w:rsid w:val="00D17195"/>
    <w:rsid w:val="00DA0324"/>
    <w:rsid w:val="00DA2361"/>
    <w:rsid w:val="00E63C06"/>
    <w:rsid w:val="00FA1EBF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1"/>
    <w:pPr>
      <w:widowControl w:val="0"/>
      <w:suppressAutoHyphens/>
    </w:pPr>
    <w:rPr>
      <w:rFonts w:ascii="Arial" w:eastAsia="Arial Unicode MS" w:hAnsi="Arial" w:cs="Arial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1EB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1EB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8">
    <w:name w:val="Текст сноски Знак"/>
    <w:link w:val="a7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9">
    <w:name w:val="footnote reference"/>
    <w:uiPriority w:val="99"/>
    <w:semiHidden/>
    <w:unhideWhenUsed/>
    <w:rsid w:val="00FA1EB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ahoma" w:eastAsia="Times New Roman" w:hAnsi="Tahoma" w:cs="Times New Roman"/>
      <w:color w:val="000000"/>
      <w:kern w:val="0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FA1EBF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table" w:styleId="ac">
    <w:name w:val="Table Grid"/>
    <w:basedOn w:val="a1"/>
    <w:uiPriority w:val="59"/>
    <w:rsid w:val="00FA1E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1EBF"/>
    <w:pPr>
      <w:widowControl/>
      <w:suppressAutoHyphens w:val="0"/>
      <w:spacing w:after="5" w:line="287" w:lineRule="auto"/>
      <w:ind w:left="720" w:firstLine="672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styleId="ae">
    <w:name w:val="Hyperlink"/>
    <w:uiPriority w:val="99"/>
    <w:unhideWhenUsed/>
    <w:rsid w:val="00FA1EBF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FA1E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1EBF"/>
    <w:pPr>
      <w:widowControl/>
      <w:suppressAutoHyphens w:val="0"/>
      <w:spacing w:after="5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1">
    <w:name w:val="Текст примечания Знак"/>
    <w:link w:val="af0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EB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A1EBF"/>
    <w:rPr>
      <w:rFonts w:ascii="Times New Roman" w:eastAsia="Times New Roman" w:hAnsi="Times New Roman"/>
      <w:b/>
      <w:bCs/>
      <w:color w:val="000000"/>
      <w:lang w:val="en-US" w:eastAsia="en-US"/>
    </w:rPr>
  </w:style>
  <w:style w:type="paragraph" w:styleId="af4">
    <w:name w:val="Revision"/>
    <w:hidden/>
    <w:uiPriority w:val="99"/>
    <w:semiHidden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f5">
    <w:name w:val="endnote text"/>
    <w:basedOn w:val="a"/>
    <w:link w:val="af6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6">
    <w:name w:val="Текст концевой сноски Знак"/>
    <w:link w:val="af5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f7">
    <w:name w:val="endnote reference"/>
    <w:uiPriority w:val="99"/>
    <w:semiHidden/>
    <w:unhideWhenUsed/>
    <w:rsid w:val="00FA1EBF"/>
    <w:rPr>
      <w:vertAlign w:val="superscript"/>
    </w:rPr>
  </w:style>
  <w:style w:type="character" w:styleId="af8">
    <w:name w:val="FollowedHyperlink"/>
    <w:uiPriority w:val="99"/>
    <w:semiHidden/>
    <w:unhideWhenUsed/>
    <w:rsid w:val="00FA1EBF"/>
    <w:rPr>
      <w:color w:val="800080"/>
      <w:u w:val="single"/>
    </w:rPr>
  </w:style>
  <w:style w:type="paragraph" w:customStyle="1" w:styleId="ConsPlusNormal">
    <w:name w:val="ConsPlusNormal"/>
    <w:rsid w:val="00FA1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1E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9">
    <w:name w:val="Содержимое таблицы"/>
    <w:basedOn w:val="a"/>
    <w:rsid w:val="00FA1EB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1"/>
    <w:pPr>
      <w:widowControl w:val="0"/>
      <w:suppressAutoHyphens/>
    </w:pPr>
    <w:rPr>
      <w:rFonts w:ascii="Arial" w:eastAsia="Arial Unicode MS" w:hAnsi="Arial" w:cs="Arial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1EB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1EB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8">
    <w:name w:val="Текст сноски Знак"/>
    <w:link w:val="a7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9">
    <w:name w:val="footnote reference"/>
    <w:uiPriority w:val="99"/>
    <w:semiHidden/>
    <w:unhideWhenUsed/>
    <w:rsid w:val="00FA1EB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ahoma" w:eastAsia="Times New Roman" w:hAnsi="Tahoma" w:cs="Times New Roman"/>
      <w:color w:val="000000"/>
      <w:kern w:val="0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FA1EBF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table" w:styleId="ac">
    <w:name w:val="Table Grid"/>
    <w:basedOn w:val="a1"/>
    <w:uiPriority w:val="59"/>
    <w:rsid w:val="00FA1E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1EBF"/>
    <w:pPr>
      <w:widowControl/>
      <w:suppressAutoHyphens w:val="0"/>
      <w:spacing w:after="5" w:line="287" w:lineRule="auto"/>
      <w:ind w:left="720" w:firstLine="672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styleId="ae">
    <w:name w:val="Hyperlink"/>
    <w:uiPriority w:val="99"/>
    <w:unhideWhenUsed/>
    <w:rsid w:val="00FA1EBF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FA1E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1EBF"/>
    <w:pPr>
      <w:widowControl/>
      <w:suppressAutoHyphens w:val="0"/>
      <w:spacing w:after="5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1">
    <w:name w:val="Текст примечания Знак"/>
    <w:link w:val="af0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EB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A1EBF"/>
    <w:rPr>
      <w:rFonts w:ascii="Times New Roman" w:eastAsia="Times New Roman" w:hAnsi="Times New Roman"/>
      <w:b/>
      <w:bCs/>
      <w:color w:val="000000"/>
      <w:lang w:val="en-US" w:eastAsia="en-US"/>
    </w:rPr>
  </w:style>
  <w:style w:type="paragraph" w:styleId="af4">
    <w:name w:val="Revision"/>
    <w:hidden/>
    <w:uiPriority w:val="99"/>
    <w:semiHidden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f5">
    <w:name w:val="endnote text"/>
    <w:basedOn w:val="a"/>
    <w:link w:val="af6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6">
    <w:name w:val="Текст концевой сноски Знак"/>
    <w:link w:val="af5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f7">
    <w:name w:val="endnote reference"/>
    <w:uiPriority w:val="99"/>
    <w:semiHidden/>
    <w:unhideWhenUsed/>
    <w:rsid w:val="00FA1EBF"/>
    <w:rPr>
      <w:vertAlign w:val="superscript"/>
    </w:rPr>
  </w:style>
  <w:style w:type="character" w:styleId="af8">
    <w:name w:val="FollowedHyperlink"/>
    <w:uiPriority w:val="99"/>
    <w:semiHidden/>
    <w:unhideWhenUsed/>
    <w:rsid w:val="00FA1EBF"/>
    <w:rPr>
      <w:color w:val="800080"/>
      <w:u w:val="single"/>
    </w:rPr>
  </w:style>
  <w:style w:type="paragraph" w:customStyle="1" w:styleId="ConsPlusNormal">
    <w:name w:val="ConsPlusNormal"/>
    <w:rsid w:val="00FA1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1E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9">
    <w:name w:val="Содержимое таблицы"/>
    <w:basedOn w:val="a"/>
    <w:rsid w:val="00FA1E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2A43FA6E849EA3F7AD28983F30EA3CCF2FD754FC689D968FDE4770760c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5BC705B83B425D706B25649CF909DDDC5A93DA6EA49EA3F7AD28983F30EA3CCF2FD754FC689D968FDE4770760c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32735</CharactersWithSpaces>
  <SharedDoc>false</SharedDoc>
  <HLinks>
    <vt:vector size="18" baseType="variant">
      <vt:variant>
        <vt:i4>1638490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consultantplus://offline/ref=9A15BC705B83B425D706B25649CF909DDCC2A43FA6E849EA3F7AD28983F30EA3CCF2FD754FC689D968FDE4770760cEF</vt:lpwstr>
      </vt:variant>
      <vt:variant>
        <vt:lpwstr/>
      </vt:variant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consultantplus://offline/ref=9A15BC705B83B425D706B25649CF909DDDC5A93DA6EA49EA3F7AD28983F30EA3CCF2FD754FC689D968FDE4770760cEF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userlkk</dc:creator>
  <cp:lastModifiedBy>RePack by Diakov</cp:lastModifiedBy>
  <cp:revision>2</cp:revision>
  <cp:lastPrinted>2023-08-09T12:34:00Z</cp:lastPrinted>
  <dcterms:created xsi:type="dcterms:W3CDTF">2023-12-20T07:49:00Z</dcterms:created>
  <dcterms:modified xsi:type="dcterms:W3CDTF">2023-12-20T07:49:00Z</dcterms:modified>
</cp:coreProperties>
</file>